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D077" w14:textId="77777777" w:rsidR="006D63B1" w:rsidRPr="00027A3E" w:rsidRDefault="006D63B1" w:rsidP="00062602">
      <w:pPr>
        <w:jc w:val="center"/>
        <w:outlineLvl w:val="0"/>
        <w:rPr>
          <w:rFonts w:ascii="Open Sans" w:hAnsi="Open Sans" w:cs="Open Sans"/>
          <w:b/>
          <w:bCs/>
        </w:rPr>
      </w:pPr>
      <w:r w:rsidRPr="00027A3E">
        <w:rPr>
          <w:rFonts w:ascii="Open Sans" w:hAnsi="Open Sans" w:cs="Open Sans"/>
          <w:b/>
          <w:bCs/>
        </w:rPr>
        <w:t>SIM Quality System Task Force</w:t>
      </w:r>
    </w:p>
    <w:p w14:paraId="1405F3CF" w14:textId="2EB3B35A" w:rsidR="006C545E" w:rsidRPr="00027A3E" w:rsidRDefault="00B43FF5" w:rsidP="00062602">
      <w:pPr>
        <w:jc w:val="center"/>
        <w:outlineLvl w:val="0"/>
        <w:rPr>
          <w:rFonts w:ascii="Open Sans" w:hAnsi="Open Sans" w:cs="Open Sans"/>
          <w:b/>
          <w:bCs/>
        </w:rPr>
      </w:pPr>
      <w:r w:rsidRPr="00027A3E">
        <w:rPr>
          <w:rFonts w:ascii="Open Sans" w:hAnsi="Open Sans" w:cs="Open Sans"/>
          <w:b/>
          <w:bCs/>
        </w:rPr>
        <w:t>QM</w:t>
      </w:r>
      <w:r w:rsidR="00652D76" w:rsidRPr="00027A3E">
        <w:rPr>
          <w:rFonts w:ascii="Open Sans" w:hAnsi="Open Sans" w:cs="Open Sans"/>
          <w:b/>
          <w:bCs/>
        </w:rPr>
        <w:t>S</w:t>
      </w:r>
      <w:r w:rsidR="00292190" w:rsidRPr="00027A3E">
        <w:rPr>
          <w:rFonts w:ascii="Open Sans" w:hAnsi="Open Sans" w:cs="Open Sans"/>
          <w:b/>
          <w:bCs/>
        </w:rPr>
        <w:t xml:space="preserve"> Annual Report for </w:t>
      </w:r>
      <w:r w:rsidR="006C545E" w:rsidRPr="00027A3E">
        <w:rPr>
          <w:rFonts w:ascii="Open Sans" w:hAnsi="Open Sans" w:cs="Open Sans"/>
          <w:b/>
          <w:bCs/>
        </w:rPr>
        <w:t>the</w:t>
      </w:r>
      <w:r w:rsidR="009B44BB">
        <w:rPr>
          <w:rFonts w:ascii="Open Sans" w:hAnsi="Open Sans" w:cs="Open Sans"/>
          <w:b/>
          <w:bCs/>
        </w:rPr>
        <w:t xml:space="preserve"> r</w:t>
      </w:r>
      <w:r w:rsidR="006C545E" w:rsidRPr="00027A3E">
        <w:rPr>
          <w:rFonts w:ascii="Open Sans" w:hAnsi="Open Sans" w:cs="Open Sans"/>
          <w:b/>
          <w:bCs/>
        </w:rPr>
        <w:t xml:space="preserve">eporting period: </w:t>
      </w:r>
      <w:r w:rsidR="006C545E" w:rsidRPr="00027A3E">
        <w:rPr>
          <w:rFonts w:ascii="Open Sans" w:hAnsi="Open Sans" w:cs="Open Sans"/>
          <w:b/>
          <w:bCs/>
          <w:highlight w:val="yellow"/>
        </w:rPr>
        <w:t>J</w:t>
      </w:r>
      <w:r w:rsidR="00EB04B5">
        <w:rPr>
          <w:rFonts w:ascii="Open Sans" w:hAnsi="Open Sans" w:cs="Open Sans"/>
          <w:b/>
          <w:bCs/>
          <w:highlight w:val="yellow"/>
        </w:rPr>
        <w:t>uly</w:t>
      </w:r>
      <w:r w:rsidR="006C545E" w:rsidRPr="00027A3E">
        <w:rPr>
          <w:rFonts w:ascii="Open Sans" w:hAnsi="Open Sans" w:cs="Open Sans"/>
          <w:b/>
          <w:bCs/>
          <w:highlight w:val="yellow"/>
        </w:rPr>
        <w:t xml:space="preserve"> 1, </w:t>
      </w:r>
      <w:proofErr w:type="gramStart"/>
      <w:r w:rsidR="006C545E" w:rsidRPr="00027A3E">
        <w:rPr>
          <w:rFonts w:ascii="Open Sans" w:hAnsi="Open Sans" w:cs="Open Sans"/>
          <w:b/>
          <w:bCs/>
          <w:highlight w:val="yellow"/>
        </w:rPr>
        <w:t>202</w:t>
      </w:r>
      <w:r w:rsidR="00EB04B5">
        <w:rPr>
          <w:rFonts w:ascii="Open Sans" w:hAnsi="Open Sans" w:cs="Open Sans"/>
          <w:b/>
          <w:bCs/>
          <w:highlight w:val="yellow"/>
        </w:rPr>
        <w:t>4</w:t>
      </w:r>
      <w:proofErr w:type="gramEnd"/>
      <w:r w:rsidR="006C545E" w:rsidRPr="00027A3E">
        <w:rPr>
          <w:rFonts w:ascii="Open Sans" w:hAnsi="Open Sans" w:cs="Open Sans"/>
          <w:b/>
          <w:bCs/>
          <w:highlight w:val="yellow"/>
        </w:rPr>
        <w:t xml:space="preserve"> to June 30, 20</w:t>
      </w:r>
      <w:r w:rsidR="006C545E" w:rsidRPr="00EB04B5">
        <w:rPr>
          <w:rFonts w:ascii="Open Sans" w:hAnsi="Open Sans" w:cs="Open Sans"/>
          <w:b/>
          <w:bCs/>
          <w:highlight w:val="yellow"/>
        </w:rPr>
        <w:t>2</w:t>
      </w:r>
      <w:r w:rsidR="00EB04B5" w:rsidRPr="00EB04B5">
        <w:rPr>
          <w:rFonts w:ascii="Open Sans" w:hAnsi="Open Sans" w:cs="Open Sans"/>
          <w:b/>
          <w:bCs/>
          <w:highlight w:val="yellow"/>
        </w:rPr>
        <w:t>5</w:t>
      </w:r>
    </w:p>
    <w:p w14:paraId="6450437D" w14:textId="182D1186" w:rsidR="00B43FF5" w:rsidRPr="00027A3E" w:rsidRDefault="00B43FF5" w:rsidP="00062602">
      <w:pPr>
        <w:jc w:val="center"/>
        <w:outlineLvl w:val="0"/>
        <w:rPr>
          <w:rFonts w:ascii="Open Sans" w:hAnsi="Open Sans" w:cs="Open Sans"/>
          <w:b/>
          <w:bCs/>
        </w:rPr>
      </w:pPr>
      <w:r w:rsidRPr="00027A3E">
        <w:rPr>
          <w:rFonts w:ascii="Open Sans" w:hAnsi="Open Sans" w:cs="Open Sans"/>
          <w:b/>
          <w:bCs/>
        </w:rPr>
        <w:t xml:space="preserve"> by </w:t>
      </w:r>
      <w:r w:rsidR="0024372B" w:rsidRPr="00027A3E">
        <w:rPr>
          <w:rFonts w:ascii="Open Sans" w:hAnsi="Open Sans" w:cs="Open Sans"/>
          <w:b/>
          <w:bCs/>
        </w:rPr>
        <w:t>XXX</w:t>
      </w:r>
      <w:r w:rsidR="0063280B" w:rsidRPr="00027A3E">
        <w:rPr>
          <w:rStyle w:val="FootnoteReference"/>
          <w:rFonts w:ascii="Open Sans" w:hAnsi="Open Sans" w:cs="Open Sans"/>
          <w:b/>
          <w:bCs/>
        </w:rPr>
        <w:footnoteReference w:id="1"/>
      </w:r>
    </w:p>
    <w:p w14:paraId="7639FF94" w14:textId="77777777" w:rsidR="00B43FF5" w:rsidRPr="00027A3E" w:rsidRDefault="00B43FF5" w:rsidP="00B43FF5">
      <w:pPr>
        <w:jc w:val="center"/>
        <w:rPr>
          <w:rFonts w:ascii="Open Sans" w:hAnsi="Open Sans" w:cs="Open Sans"/>
        </w:rPr>
      </w:pPr>
    </w:p>
    <w:p w14:paraId="2A0EC38F" w14:textId="77777777" w:rsidR="00B43FF5" w:rsidRPr="00027A3E" w:rsidRDefault="00B43FF5" w:rsidP="00062602">
      <w:pPr>
        <w:jc w:val="center"/>
        <w:outlineLvl w:val="0"/>
        <w:rPr>
          <w:rFonts w:ascii="Open Sans" w:hAnsi="Open Sans" w:cs="Open Sans"/>
        </w:rPr>
      </w:pPr>
      <w:r w:rsidRPr="00027A3E">
        <w:rPr>
          <w:rFonts w:ascii="Open Sans" w:hAnsi="Open Sans" w:cs="Open Sans"/>
        </w:rPr>
        <w:t>Significant Changes in the Approved QMS</w:t>
      </w:r>
    </w:p>
    <w:p w14:paraId="137102EB" w14:textId="77777777" w:rsidR="00B43FF5" w:rsidRPr="00027A3E" w:rsidRDefault="00B43FF5" w:rsidP="00B43FF5">
      <w:pPr>
        <w:jc w:val="center"/>
        <w:rPr>
          <w:rFonts w:ascii="Open Sans" w:hAnsi="Open Sans" w:cs="Open Sans"/>
        </w:rPr>
      </w:pPr>
    </w:p>
    <w:p w14:paraId="7189AD29" w14:textId="575D34A3" w:rsidR="00B43FF5" w:rsidRPr="00027A3E" w:rsidRDefault="00B43FF5"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Major Chan</w:t>
      </w:r>
      <w:r w:rsidR="001D05DE" w:rsidRPr="00027A3E">
        <w:rPr>
          <w:rFonts w:ascii="Open Sans" w:hAnsi="Open Sans" w:cs="Open Sans"/>
          <w:sz w:val="22"/>
          <w:szCs w:val="22"/>
        </w:rPr>
        <w:t xml:space="preserve">ges in staffing and steps taken, considering those changes, </w:t>
      </w:r>
      <w:r w:rsidRPr="00027A3E">
        <w:rPr>
          <w:rFonts w:ascii="Open Sans" w:hAnsi="Open Sans" w:cs="Open Sans"/>
          <w:sz w:val="22"/>
          <w:szCs w:val="22"/>
        </w:rPr>
        <w:t>to either modify or ensure delivery of CMCs</w:t>
      </w:r>
      <w:r w:rsidRPr="00027A3E">
        <w:rPr>
          <w:rStyle w:val="FootnoteReference"/>
          <w:rFonts w:ascii="Open Sans" w:hAnsi="Open Sans" w:cs="Open Sans"/>
          <w:sz w:val="22"/>
          <w:szCs w:val="22"/>
        </w:rPr>
        <w:footnoteReference w:id="2"/>
      </w:r>
    </w:p>
    <w:p w14:paraId="49C4FC26" w14:textId="77777777" w:rsidR="00B43FF5" w:rsidRPr="00027A3E" w:rsidRDefault="00B43FF5" w:rsidP="00027A3E">
      <w:pPr>
        <w:rPr>
          <w:rFonts w:ascii="Open Sans" w:hAnsi="Open Sans" w:cs="Open Sans"/>
          <w:sz w:val="22"/>
          <w:szCs w:val="22"/>
        </w:rPr>
      </w:pPr>
    </w:p>
    <w:p w14:paraId="250A1A31" w14:textId="77777777" w:rsidR="00B43FF5" w:rsidRPr="00027A3E" w:rsidRDefault="00B43FF5"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Major Changes in organization structure and steps taken</w:t>
      </w:r>
      <w:r w:rsidR="001D05DE" w:rsidRPr="00027A3E">
        <w:rPr>
          <w:rFonts w:ascii="Open Sans" w:hAnsi="Open Sans" w:cs="Open Sans"/>
          <w:sz w:val="22"/>
          <w:szCs w:val="22"/>
        </w:rPr>
        <w:t>, considering those changes,</w:t>
      </w:r>
      <w:r w:rsidRPr="00027A3E">
        <w:rPr>
          <w:rFonts w:ascii="Open Sans" w:hAnsi="Open Sans" w:cs="Open Sans"/>
          <w:sz w:val="22"/>
          <w:szCs w:val="22"/>
        </w:rPr>
        <w:t xml:space="preserve"> to either modify or ensure delivery of CMCs</w:t>
      </w:r>
      <w:r w:rsidR="00BC6340" w:rsidRPr="00027A3E">
        <w:rPr>
          <w:rStyle w:val="FootnoteReference"/>
          <w:rFonts w:ascii="Open Sans" w:hAnsi="Open Sans" w:cs="Open Sans"/>
          <w:sz w:val="22"/>
          <w:szCs w:val="22"/>
        </w:rPr>
        <w:footnoteReference w:id="3"/>
      </w:r>
    </w:p>
    <w:p w14:paraId="0F9BA238" w14:textId="77777777" w:rsidR="00292190" w:rsidRPr="00027A3E" w:rsidRDefault="00292190" w:rsidP="00027A3E">
      <w:pPr>
        <w:pStyle w:val="ListParagraph"/>
        <w:ind w:left="0"/>
        <w:rPr>
          <w:rFonts w:ascii="Open Sans" w:hAnsi="Open Sans" w:cs="Open Sans"/>
          <w:sz w:val="22"/>
          <w:szCs w:val="22"/>
        </w:rPr>
      </w:pPr>
    </w:p>
    <w:p w14:paraId="60AAFEB5" w14:textId="77777777" w:rsidR="00292190" w:rsidRPr="00027A3E" w:rsidRDefault="00292190"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If QMS approval was based on accreditation, when does current accreditation expire?</w:t>
      </w:r>
    </w:p>
    <w:p w14:paraId="1AFA40B8" w14:textId="77777777" w:rsidR="00DA1D71" w:rsidRPr="00027A3E" w:rsidRDefault="00DA1D71" w:rsidP="00027A3E">
      <w:pPr>
        <w:rPr>
          <w:rFonts w:ascii="Open Sans" w:hAnsi="Open Sans" w:cs="Open Sans"/>
          <w:sz w:val="22"/>
          <w:szCs w:val="22"/>
        </w:rPr>
      </w:pPr>
    </w:p>
    <w:p w14:paraId="0D9199F4" w14:textId="77777777" w:rsidR="00B43FF5" w:rsidRPr="00027A3E" w:rsidRDefault="00B43FF5"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 xml:space="preserve">Key comparison results that are inconsistent with published CMCs and </w:t>
      </w:r>
      <w:r w:rsidR="00BC6340" w:rsidRPr="00027A3E">
        <w:rPr>
          <w:rFonts w:ascii="Open Sans" w:hAnsi="Open Sans" w:cs="Open Sans"/>
          <w:sz w:val="22"/>
          <w:szCs w:val="22"/>
        </w:rPr>
        <w:t>what you are doing about it</w:t>
      </w:r>
      <w:r w:rsidR="00BC6340" w:rsidRPr="00027A3E">
        <w:rPr>
          <w:rStyle w:val="FootnoteReference"/>
          <w:rFonts w:ascii="Open Sans" w:hAnsi="Open Sans" w:cs="Open Sans"/>
          <w:sz w:val="22"/>
          <w:szCs w:val="22"/>
        </w:rPr>
        <w:footnoteReference w:id="4"/>
      </w:r>
    </w:p>
    <w:p w14:paraId="25CBE794" w14:textId="77777777" w:rsidR="00BC6340" w:rsidRPr="00027A3E" w:rsidRDefault="00BC6340" w:rsidP="00027A3E">
      <w:pPr>
        <w:rPr>
          <w:rFonts w:ascii="Open Sans" w:hAnsi="Open Sans" w:cs="Open Sans"/>
          <w:sz w:val="22"/>
          <w:szCs w:val="22"/>
        </w:rPr>
      </w:pPr>
    </w:p>
    <w:p w14:paraId="1A7FEC9D" w14:textId="77777777" w:rsidR="00B43FF5" w:rsidRPr="00027A3E" w:rsidRDefault="00B43FF5"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 xml:space="preserve">Major changes in Quality </w:t>
      </w:r>
      <w:r w:rsidR="003377D3" w:rsidRPr="00027A3E">
        <w:rPr>
          <w:rFonts w:ascii="Open Sans" w:hAnsi="Open Sans" w:cs="Open Sans"/>
          <w:sz w:val="22"/>
          <w:szCs w:val="22"/>
        </w:rPr>
        <w:t xml:space="preserve">Management </w:t>
      </w:r>
      <w:r w:rsidRPr="00027A3E">
        <w:rPr>
          <w:rFonts w:ascii="Open Sans" w:hAnsi="Open Sans" w:cs="Open Sans"/>
          <w:sz w:val="22"/>
          <w:szCs w:val="22"/>
        </w:rPr>
        <w:t>System</w:t>
      </w:r>
      <w:r w:rsidR="00BC6340" w:rsidRPr="00027A3E">
        <w:rPr>
          <w:rStyle w:val="FootnoteReference"/>
          <w:rFonts w:ascii="Open Sans" w:hAnsi="Open Sans" w:cs="Open Sans"/>
          <w:sz w:val="22"/>
          <w:szCs w:val="22"/>
        </w:rPr>
        <w:footnoteReference w:id="5"/>
      </w:r>
    </w:p>
    <w:p w14:paraId="38A50054" w14:textId="77777777" w:rsidR="00B43FF5" w:rsidRPr="00027A3E" w:rsidRDefault="00B43FF5" w:rsidP="00027A3E">
      <w:pPr>
        <w:rPr>
          <w:rFonts w:ascii="Open Sans" w:hAnsi="Open Sans" w:cs="Open Sans"/>
          <w:sz w:val="22"/>
          <w:szCs w:val="22"/>
        </w:rPr>
      </w:pPr>
    </w:p>
    <w:p w14:paraId="2D0A6052" w14:textId="77777777" w:rsidR="00B43FF5" w:rsidRPr="00027A3E" w:rsidRDefault="00B43FF5"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Major</w:t>
      </w:r>
      <w:r w:rsidR="00BC6340" w:rsidRPr="00027A3E">
        <w:rPr>
          <w:rFonts w:ascii="Open Sans" w:hAnsi="Open Sans" w:cs="Open Sans"/>
          <w:sz w:val="22"/>
          <w:szCs w:val="22"/>
        </w:rPr>
        <w:t xml:space="preserve"> changes in customer complaints</w:t>
      </w:r>
      <w:r w:rsidR="001D05DE" w:rsidRPr="00027A3E">
        <w:rPr>
          <w:rFonts w:ascii="Open Sans" w:hAnsi="Open Sans" w:cs="Open Sans"/>
          <w:sz w:val="22"/>
          <w:szCs w:val="22"/>
        </w:rPr>
        <w:t xml:space="preserve"> (number and nature)</w:t>
      </w:r>
      <w:r w:rsidR="00BC6340" w:rsidRPr="00027A3E">
        <w:rPr>
          <w:rStyle w:val="FootnoteReference"/>
          <w:rFonts w:ascii="Open Sans" w:hAnsi="Open Sans" w:cs="Open Sans"/>
          <w:sz w:val="22"/>
          <w:szCs w:val="22"/>
        </w:rPr>
        <w:footnoteReference w:id="6"/>
      </w:r>
    </w:p>
    <w:p w14:paraId="021E0069" w14:textId="77777777" w:rsidR="00BC6340" w:rsidRPr="00027A3E" w:rsidRDefault="00BC6340" w:rsidP="00027A3E">
      <w:pPr>
        <w:rPr>
          <w:rFonts w:ascii="Open Sans" w:hAnsi="Open Sans" w:cs="Open Sans"/>
          <w:sz w:val="22"/>
          <w:szCs w:val="22"/>
        </w:rPr>
      </w:pPr>
    </w:p>
    <w:p w14:paraId="54026EB8" w14:textId="77777777" w:rsidR="00D57870" w:rsidRPr="00027A3E" w:rsidRDefault="00B43FF5" w:rsidP="00027A3E">
      <w:pPr>
        <w:numPr>
          <w:ilvl w:val="0"/>
          <w:numId w:val="1"/>
        </w:numPr>
        <w:ind w:left="0" w:firstLine="0"/>
        <w:rPr>
          <w:rFonts w:ascii="Open Sans" w:hAnsi="Open Sans" w:cs="Open Sans"/>
          <w:sz w:val="22"/>
          <w:szCs w:val="22"/>
          <w:vertAlign w:val="superscript"/>
        </w:rPr>
      </w:pPr>
      <w:r w:rsidRPr="00027A3E">
        <w:rPr>
          <w:rFonts w:ascii="Open Sans" w:hAnsi="Open Sans" w:cs="Open Sans"/>
          <w:sz w:val="22"/>
          <w:szCs w:val="22"/>
        </w:rPr>
        <w:t xml:space="preserve">Major changes in the </w:t>
      </w:r>
      <w:r w:rsidR="00BC6340" w:rsidRPr="00027A3E">
        <w:rPr>
          <w:rFonts w:ascii="Open Sans" w:hAnsi="Open Sans" w:cs="Open Sans"/>
          <w:sz w:val="22"/>
          <w:szCs w:val="22"/>
        </w:rPr>
        <w:t xml:space="preserve">number </w:t>
      </w:r>
      <w:r w:rsidR="00545A6A" w:rsidRPr="00027A3E">
        <w:rPr>
          <w:rFonts w:ascii="Open Sans" w:hAnsi="Open Sans" w:cs="Open Sans"/>
          <w:sz w:val="22"/>
          <w:szCs w:val="22"/>
        </w:rPr>
        <w:t xml:space="preserve">or nature </w:t>
      </w:r>
      <w:r w:rsidR="00BC6340" w:rsidRPr="00027A3E">
        <w:rPr>
          <w:rFonts w:ascii="Open Sans" w:hAnsi="Open Sans" w:cs="Open Sans"/>
          <w:sz w:val="22"/>
          <w:szCs w:val="22"/>
        </w:rPr>
        <w:t>of nonconformities</w:t>
      </w:r>
      <w:r w:rsidR="009D08D1" w:rsidRPr="00027A3E">
        <w:rPr>
          <w:rFonts w:ascii="Open Sans" w:hAnsi="Open Sans" w:cs="Open Sans"/>
          <w:sz w:val="22"/>
          <w:szCs w:val="22"/>
          <w:vertAlign w:val="superscript"/>
        </w:rPr>
        <w:t>6</w:t>
      </w:r>
    </w:p>
    <w:p w14:paraId="7C5E79FC" w14:textId="77777777" w:rsidR="00F744E6" w:rsidRPr="00027A3E" w:rsidRDefault="00F744E6" w:rsidP="00027A3E">
      <w:pPr>
        <w:rPr>
          <w:rFonts w:ascii="Open Sans" w:hAnsi="Open Sans" w:cs="Open Sans"/>
          <w:sz w:val="22"/>
          <w:szCs w:val="22"/>
        </w:rPr>
      </w:pPr>
    </w:p>
    <w:p w14:paraId="4F7AB407" w14:textId="77777777" w:rsidR="00D57870" w:rsidRPr="00027A3E" w:rsidRDefault="00D57870"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Status of key issues identified in last year’s report</w:t>
      </w:r>
    </w:p>
    <w:p w14:paraId="31595792" w14:textId="77777777" w:rsidR="00D57870" w:rsidRPr="00027A3E" w:rsidRDefault="00D57870" w:rsidP="00027A3E">
      <w:pPr>
        <w:rPr>
          <w:rFonts w:ascii="Open Sans" w:hAnsi="Open Sans" w:cs="Open Sans"/>
          <w:sz w:val="22"/>
          <w:szCs w:val="22"/>
        </w:rPr>
      </w:pPr>
    </w:p>
    <w:p w14:paraId="4B814C83" w14:textId="77777777" w:rsidR="00652D76" w:rsidRPr="00027A3E" w:rsidRDefault="00B43FF5"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Date of last management review</w:t>
      </w:r>
    </w:p>
    <w:p w14:paraId="3A611A94" w14:textId="77777777" w:rsidR="00652D76" w:rsidRPr="00027A3E" w:rsidRDefault="00652D76" w:rsidP="00027A3E">
      <w:pPr>
        <w:pStyle w:val="ListParagraph"/>
        <w:ind w:left="0"/>
        <w:rPr>
          <w:rFonts w:ascii="Open Sans" w:hAnsi="Open Sans" w:cs="Open Sans"/>
          <w:sz w:val="22"/>
          <w:szCs w:val="22"/>
        </w:rPr>
      </w:pPr>
    </w:p>
    <w:p w14:paraId="198CFA53" w14:textId="77777777" w:rsidR="00027A3E" w:rsidRDefault="00652D76"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 xml:space="preserve">Status of any </w:t>
      </w:r>
      <w:r w:rsidR="00027A3E" w:rsidRPr="00027A3E">
        <w:rPr>
          <w:rFonts w:ascii="Open Sans" w:hAnsi="Open Sans" w:cs="Open Sans"/>
          <w:sz w:val="22"/>
          <w:szCs w:val="22"/>
        </w:rPr>
        <w:t>greyed-out</w:t>
      </w:r>
      <w:r w:rsidRPr="00027A3E">
        <w:rPr>
          <w:rFonts w:ascii="Open Sans" w:hAnsi="Open Sans" w:cs="Open Sans"/>
          <w:sz w:val="22"/>
          <w:szCs w:val="22"/>
        </w:rPr>
        <w:t xml:space="preserve"> CMCs (progress towards addressing the issue or decision to permanently delete)</w:t>
      </w:r>
    </w:p>
    <w:p w14:paraId="506BFEEB" w14:textId="77777777" w:rsidR="00027A3E" w:rsidRPr="00027A3E" w:rsidRDefault="00027A3E" w:rsidP="00027A3E">
      <w:pPr>
        <w:pStyle w:val="ListParagraph"/>
        <w:ind w:left="0"/>
        <w:rPr>
          <w:rFonts w:ascii="Open Sans" w:hAnsi="Open Sans"/>
          <w:i/>
          <w:iCs/>
          <w:color w:val="000000" w:themeColor="text1"/>
          <w:sz w:val="22"/>
          <w:szCs w:val="22"/>
        </w:rPr>
      </w:pPr>
    </w:p>
    <w:p w14:paraId="65290700" w14:textId="6934BA32" w:rsidR="002052EC" w:rsidRPr="00027A3E" w:rsidRDefault="009B44BB" w:rsidP="00027A3E">
      <w:pPr>
        <w:numPr>
          <w:ilvl w:val="0"/>
          <w:numId w:val="1"/>
        </w:numPr>
        <w:ind w:left="0" w:firstLine="0"/>
        <w:rPr>
          <w:rFonts w:ascii="Open Sans" w:hAnsi="Open Sans" w:cs="Open Sans"/>
          <w:color w:val="000000" w:themeColor="text1"/>
          <w:sz w:val="22"/>
          <w:szCs w:val="22"/>
        </w:rPr>
      </w:pPr>
      <w:r w:rsidRPr="007841C1">
        <w:rPr>
          <w:rFonts w:ascii="Open Sans" w:hAnsi="Open Sans"/>
          <w:b/>
          <w:bCs/>
          <w:color w:val="000000" w:themeColor="text1"/>
          <w:sz w:val="22"/>
          <w:szCs w:val="22"/>
        </w:rPr>
        <w:t>For inclusion in the SIM report to JCRB</w:t>
      </w:r>
      <w:r>
        <w:rPr>
          <w:rFonts w:ascii="Open Sans" w:hAnsi="Open Sans"/>
          <w:color w:val="000000" w:themeColor="text1"/>
          <w:sz w:val="22"/>
          <w:szCs w:val="22"/>
        </w:rPr>
        <w:t>, m</w:t>
      </w:r>
      <w:r w:rsidR="002052EC" w:rsidRPr="00027A3E">
        <w:rPr>
          <w:rFonts w:ascii="Open Sans" w:hAnsi="Open Sans"/>
          <w:color w:val="000000" w:themeColor="text1"/>
          <w:sz w:val="22"/>
          <w:szCs w:val="22"/>
        </w:rPr>
        <w:t>ajor</w:t>
      </w:r>
      <w:r w:rsidR="002052EC" w:rsidRPr="00027A3E">
        <w:rPr>
          <w:rFonts w:ascii="Open Sans" w:hAnsi="Open Sans"/>
          <w:i/>
          <w:iCs/>
          <w:color w:val="000000" w:themeColor="text1"/>
          <w:sz w:val="22"/>
          <w:szCs w:val="22"/>
        </w:rPr>
        <w:t xml:space="preserve"> </w:t>
      </w:r>
      <w:r w:rsidR="002052EC" w:rsidRPr="00027A3E">
        <w:rPr>
          <w:rFonts w:ascii="Open Sans" w:hAnsi="Open Sans"/>
          <w:color w:val="000000" w:themeColor="text1"/>
          <w:sz w:val="22"/>
          <w:szCs w:val="22"/>
        </w:rPr>
        <w:t>changes since</w:t>
      </w:r>
      <w:r w:rsidR="006C545E" w:rsidRPr="00027A3E">
        <w:rPr>
          <w:rFonts w:ascii="Open Sans" w:hAnsi="Open Sans"/>
          <w:color w:val="000000" w:themeColor="text1"/>
          <w:sz w:val="22"/>
          <w:szCs w:val="22"/>
        </w:rPr>
        <w:t xml:space="preserve"> the previous reporting period</w:t>
      </w:r>
      <w:r w:rsidR="002052EC" w:rsidRPr="00027A3E">
        <w:rPr>
          <w:rFonts w:ascii="Open Sans" w:hAnsi="Open Sans"/>
          <w:color w:val="000000" w:themeColor="text1"/>
          <w:sz w:val="22"/>
          <w:szCs w:val="22"/>
        </w:rPr>
        <w:t xml:space="preserve"> </w:t>
      </w:r>
      <w:r w:rsidR="006C545E" w:rsidRPr="00027A3E">
        <w:rPr>
          <w:rFonts w:ascii="Open Sans" w:hAnsi="Open Sans"/>
          <w:color w:val="000000" w:themeColor="text1"/>
          <w:sz w:val="22"/>
          <w:szCs w:val="22"/>
        </w:rPr>
        <w:t xml:space="preserve">to </w:t>
      </w:r>
      <w:r w:rsidR="002052EC" w:rsidRPr="00027A3E">
        <w:rPr>
          <w:rFonts w:ascii="Open Sans" w:hAnsi="Open Sans"/>
          <w:color w:val="000000" w:themeColor="text1"/>
          <w:sz w:val="22"/>
          <w:szCs w:val="22"/>
        </w:rPr>
        <w:t xml:space="preserve">the quality management system of </w:t>
      </w:r>
      <w:r w:rsidR="006C545E" w:rsidRPr="00027A3E">
        <w:rPr>
          <w:rFonts w:ascii="Open Sans" w:hAnsi="Open Sans"/>
          <w:color w:val="000000" w:themeColor="text1"/>
          <w:sz w:val="22"/>
          <w:szCs w:val="22"/>
        </w:rPr>
        <w:t xml:space="preserve">the </w:t>
      </w:r>
      <w:r w:rsidR="002052EC" w:rsidRPr="00027A3E">
        <w:rPr>
          <w:rFonts w:ascii="Open Sans" w:hAnsi="Open Sans"/>
          <w:color w:val="000000" w:themeColor="text1"/>
          <w:sz w:val="22"/>
          <w:szCs w:val="22"/>
        </w:rPr>
        <w:t>institute (referring to CIPM MRA-G-12, Section 5 c)</w:t>
      </w:r>
    </w:p>
    <w:p w14:paraId="71FE67E9" w14:textId="2B3D6A36" w:rsidR="002052EC" w:rsidRPr="00027A3E" w:rsidRDefault="002052EC" w:rsidP="00027A3E">
      <w:pPr>
        <w:spacing w:before="120" w:after="120" w:line="288" w:lineRule="auto"/>
        <w:jc w:val="both"/>
        <w:rPr>
          <w:rFonts w:ascii="Open Sans" w:eastAsia="Calibri" w:hAnsi="Open Sans"/>
          <w:color w:val="000000" w:themeColor="text1"/>
          <w:sz w:val="22"/>
          <w:szCs w:val="22"/>
        </w:rPr>
      </w:pPr>
      <w:r w:rsidRPr="00027A3E">
        <w:rPr>
          <w:rFonts w:ascii="Open Sans" w:eastAsia="Calibri" w:hAnsi="Open Sans"/>
          <w:color w:val="000000" w:themeColor="text1"/>
          <w:sz w:val="22"/>
          <w:szCs w:val="22"/>
        </w:rPr>
        <w:t xml:space="preserve">The following lists the major changes to the quality management system of </w:t>
      </w:r>
      <w:r w:rsidR="006C545E" w:rsidRPr="00027A3E">
        <w:rPr>
          <w:rFonts w:ascii="Open Sans" w:eastAsia="Calibri" w:hAnsi="Open Sans"/>
          <w:color w:val="000000" w:themeColor="text1"/>
          <w:sz w:val="22"/>
          <w:szCs w:val="22"/>
        </w:rPr>
        <w:t xml:space="preserve">the </w:t>
      </w:r>
      <w:r w:rsidRPr="00027A3E">
        <w:rPr>
          <w:rFonts w:ascii="Open Sans" w:eastAsia="Calibri" w:hAnsi="Open Sans"/>
          <w:color w:val="000000" w:themeColor="text1"/>
          <w:sz w:val="22"/>
          <w:szCs w:val="22"/>
        </w:rPr>
        <w:t>institute</w:t>
      </w:r>
      <w:r w:rsidR="006C545E" w:rsidRPr="00027A3E">
        <w:rPr>
          <w:rFonts w:ascii="Open Sans" w:eastAsia="Calibri" w:hAnsi="Open Sans"/>
          <w:color w:val="000000" w:themeColor="text1"/>
          <w:sz w:val="22"/>
          <w:szCs w:val="22"/>
        </w:rPr>
        <w:t xml:space="preserve"> </w:t>
      </w:r>
      <w:r w:rsidRPr="00027A3E">
        <w:rPr>
          <w:rFonts w:ascii="Open Sans" w:eastAsia="Calibri" w:hAnsi="Open Sans"/>
          <w:color w:val="000000" w:themeColor="text1"/>
          <w:sz w:val="22"/>
          <w:szCs w:val="22"/>
        </w:rPr>
        <w:t>that affect the validity of CMCs.</w:t>
      </w:r>
    </w:p>
    <w:tbl>
      <w:tblPr>
        <w:tblW w:w="13750" w:type="dxa"/>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1002"/>
        <w:gridCol w:w="3960"/>
        <w:gridCol w:w="2126"/>
        <w:gridCol w:w="6662"/>
      </w:tblGrid>
      <w:tr w:rsidR="002052EC" w:rsidRPr="00027A3E" w14:paraId="5D55C0DF" w14:textId="77777777" w:rsidTr="002C46EF">
        <w:tc>
          <w:tcPr>
            <w:tcW w:w="1002" w:type="dxa"/>
            <w:tcBorders>
              <w:top w:val="nil"/>
              <w:bottom w:val="single" w:sz="12" w:space="0" w:color="8EAADB"/>
              <w:right w:val="nil"/>
            </w:tcBorders>
            <w:shd w:val="clear" w:color="auto" w:fill="FFFFFF"/>
          </w:tcPr>
          <w:p w14:paraId="075DE3FD" w14:textId="77777777" w:rsidR="002052EC" w:rsidRPr="00027A3E" w:rsidRDefault="002052EC" w:rsidP="00027A3E">
            <w:pPr>
              <w:spacing w:line="288" w:lineRule="auto"/>
              <w:jc w:val="both"/>
              <w:rPr>
                <w:rFonts w:ascii="Open Sans" w:hAnsi="Open Sans"/>
                <w:b/>
                <w:bCs/>
                <w:sz w:val="20"/>
                <w:szCs w:val="20"/>
              </w:rPr>
            </w:pPr>
            <w:r w:rsidRPr="00027A3E">
              <w:rPr>
                <w:rFonts w:ascii="Open Sans" w:hAnsi="Open Sans"/>
                <w:b/>
                <w:bCs/>
                <w:sz w:val="20"/>
                <w:szCs w:val="20"/>
              </w:rPr>
              <w:t>NMI/DI</w:t>
            </w:r>
          </w:p>
        </w:tc>
        <w:tc>
          <w:tcPr>
            <w:tcW w:w="3960" w:type="dxa"/>
            <w:tcBorders>
              <w:top w:val="nil"/>
              <w:left w:val="nil"/>
              <w:bottom w:val="single" w:sz="12" w:space="0" w:color="8EAADB"/>
              <w:right w:val="nil"/>
            </w:tcBorders>
            <w:shd w:val="clear" w:color="auto" w:fill="FFFFFF"/>
          </w:tcPr>
          <w:p w14:paraId="38000B3F" w14:textId="77777777" w:rsidR="002052EC" w:rsidRPr="00027A3E" w:rsidRDefault="002052EC" w:rsidP="00027A3E">
            <w:pPr>
              <w:spacing w:line="288" w:lineRule="auto"/>
              <w:jc w:val="both"/>
              <w:rPr>
                <w:rFonts w:ascii="Open Sans" w:hAnsi="Open Sans"/>
                <w:b/>
                <w:bCs/>
                <w:sz w:val="20"/>
                <w:szCs w:val="20"/>
              </w:rPr>
            </w:pPr>
            <w:r w:rsidRPr="00027A3E">
              <w:rPr>
                <w:rFonts w:ascii="Open Sans" w:hAnsi="Open Sans"/>
                <w:b/>
                <w:bCs/>
                <w:sz w:val="20"/>
                <w:szCs w:val="20"/>
              </w:rPr>
              <w:t>Type of change</w:t>
            </w:r>
          </w:p>
        </w:tc>
        <w:tc>
          <w:tcPr>
            <w:tcW w:w="2126" w:type="dxa"/>
            <w:tcBorders>
              <w:top w:val="nil"/>
              <w:left w:val="nil"/>
              <w:bottom w:val="single" w:sz="12" w:space="0" w:color="8EAADB"/>
              <w:right w:val="nil"/>
            </w:tcBorders>
            <w:shd w:val="clear" w:color="auto" w:fill="FFFFFF"/>
          </w:tcPr>
          <w:p w14:paraId="74BC3B69" w14:textId="77777777" w:rsidR="002052EC" w:rsidRPr="00027A3E" w:rsidRDefault="002052EC" w:rsidP="00027A3E">
            <w:pPr>
              <w:spacing w:line="288" w:lineRule="auto"/>
              <w:jc w:val="both"/>
              <w:rPr>
                <w:rFonts w:ascii="Open Sans" w:hAnsi="Open Sans"/>
                <w:b/>
                <w:bCs/>
                <w:sz w:val="20"/>
                <w:szCs w:val="20"/>
              </w:rPr>
            </w:pPr>
            <w:r w:rsidRPr="00027A3E">
              <w:rPr>
                <w:rFonts w:ascii="Open Sans" w:hAnsi="Open Sans"/>
                <w:b/>
                <w:bCs/>
                <w:sz w:val="20"/>
                <w:szCs w:val="20"/>
              </w:rPr>
              <w:t>Metrological area</w:t>
            </w:r>
          </w:p>
        </w:tc>
        <w:tc>
          <w:tcPr>
            <w:tcW w:w="6662" w:type="dxa"/>
            <w:tcBorders>
              <w:top w:val="nil"/>
              <w:left w:val="nil"/>
              <w:bottom w:val="single" w:sz="12" w:space="0" w:color="8EAADB"/>
            </w:tcBorders>
            <w:shd w:val="clear" w:color="auto" w:fill="FFFFFF"/>
          </w:tcPr>
          <w:p w14:paraId="74402EF1" w14:textId="77777777" w:rsidR="002052EC" w:rsidRPr="00027A3E" w:rsidRDefault="002052EC" w:rsidP="00027A3E">
            <w:pPr>
              <w:spacing w:line="288" w:lineRule="auto"/>
              <w:jc w:val="both"/>
              <w:rPr>
                <w:rFonts w:ascii="Open Sans" w:hAnsi="Open Sans"/>
                <w:b/>
                <w:bCs/>
                <w:sz w:val="20"/>
                <w:szCs w:val="20"/>
              </w:rPr>
            </w:pPr>
            <w:r w:rsidRPr="00027A3E">
              <w:rPr>
                <w:rFonts w:ascii="Open Sans" w:hAnsi="Open Sans"/>
                <w:b/>
                <w:bCs/>
                <w:sz w:val="20"/>
                <w:szCs w:val="20"/>
              </w:rPr>
              <w:t>Outcome/comment/CMC</w:t>
            </w:r>
          </w:p>
        </w:tc>
      </w:tr>
      <w:tr w:rsidR="002052EC" w:rsidRPr="00027A3E" w14:paraId="7D77B59F" w14:textId="77777777" w:rsidTr="002C46EF">
        <w:tc>
          <w:tcPr>
            <w:tcW w:w="1002" w:type="dxa"/>
            <w:shd w:val="clear" w:color="auto" w:fill="D9E2F3"/>
          </w:tcPr>
          <w:p w14:paraId="3DD50573" w14:textId="77777777" w:rsidR="002052EC" w:rsidRPr="00027A3E" w:rsidRDefault="002052EC" w:rsidP="00027A3E">
            <w:pPr>
              <w:spacing w:line="288" w:lineRule="auto"/>
              <w:jc w:val="both"/>
              <w:rPr>
                <w:rFonts w:ascii="Open Sans" w:hAnsi="Open Sans"/>
                <w:b/>
                <w:bCs/>
                <w:sz w:val="22"/>
                <w:szCs w:val="22"/>
              </w:rPr>
            </w:pPr>
          </w:p>
        </w:tc>
        <w:tc>
          <w:tcPr>
            <w:tcW w:w="3960" w:type="dxa"/>
            <w:shd w:val="clear" w:color="auto" w:fill="D9E2F3"/>
          </w:tcPr>
          <w:p w14:paraId="303EEFD5" w14:textId="77777777" w:rsidR="002052EC" w:rsidRPr="00027A3E" w:rsidRDefault="002052EC" w:rsidP="00027A3E">
            <w:pPr>
              <w:spacing w:line="288" w:lineRule="auto"/>
              <w:jc w:val="both"/>
              <w:rPr>
                <w:rFonts w:ascii="Open Sans" w:hAnsi="Open Sans"/>
                <w:sz w:val="22"/>
                <w:szCs w:val="22"/>
              </w:rPr>
            </w:pPr>
          </w:p>
        </w:tc>
        <w:tc>
          <w:tcPr>
            <w:tcW w:w="2126" w:type="dxa"/>
            <w:shd w:val="clear" w:color="auto" w:fill="D9E2F3"/>
          </w:tcPr>
          <w:p w14:paraId="79839D29" w14:textId="77777777" w:rsidR="002052EC" w:rsidRPr="00027A3E" w:rsidRDefault="002052EC" w:rsidP="00027A3E">
            <w:pPr>
              <w:spacing w:line="288" w:lineRule="auto"/>
              <w:jc w:val="both"/>
              <w:rPr>
                <w:rFonts w:ascii="Open Sans" w:hAnsi="Open Sans"/>
                <w:sz w:val="22"/>
                <w:szCs w:val="22"/>
              </w:rPr>
            </w:pPr>
          </w:p>
        </w:tc>
        <w:tc>
          <w:tcPr>
            <w:tcW w:w="6662" w:type="dxa"/>
            <w:shd w:val="clear" w:color="auto" w:fill="D9E2F3"/>
          </w:tcPr>
          <w:p w14:paraId="4931257B" w14:textId="77777777" w:rsidR="002052EC" w:rsidRPr="00027A3E" w:rsidRDefault="002052EC" w:rsidP="00027A3E">
            <w:pPr>
              <w:spacing w:line="288" w:lineRule="auto"/>
              <w:jc w:val="both"/>
              <w:rPr>
                <w:rFonts w:ascii="Open Sans" w:hAnsi="Open Sans"/>
                <w:sz w:val="22"/>
                <w:szCs w:val="22"/>
              </w:rPr>
            </w:pPr>
          </w:p>
        </w:tc>
      </w:tr>
      <w:tr w:rsidR="002052EC" w:rsidRPr="00027A3E" w14:paraId="509E9138" w14:textId="77777777" w:rsidTr="002C46EF">
        <w:tc>
          <w:tcPr>
            <w:tcW w:w="1002" w:type="dxa"/>
            <w:shd w:val="clear" w:color="auto" w:fill="auto"/>
          </w:tcPr>
          <w:p w14:paraId="747FA213" w14:textId="77777777" w:rsidR="002052EC" w:rsidRPr="00027A3E" w:rsidRDefault="002052EC" w:rsidP="00027A3E">
            <w:pPr>
              <w:spacing w:line="288" w:lineRule="auto"/>
              <w:jc w:val="both"/>
              <w:rPr>
                <w:rFonts w:ascii="Open Sans" w:hAnsi="Open Sans"/>
                <w:b/>
                <w:bCs/>
                <w:sz w:val="22"/>
                <w:szCs w:val="22"/>
              </w:rPr>
            </w:pPr>
          </w:p>
        </w:tc>
        <w:tc>
          <w:tcPr>
            <w:tcW w:w="3960" w:type="dxa"/>
            <w:shd w:val="clear" w:color="auto" w:fill="auto"/>
          </w:tcPr>
          <w:p w14:paraId="5F79A2EB" w14:textId="77777777" w:rsidR="002052EC" w:rsidRPr="00027A3E" w:rsidRDefault="002052EC" w:rsidP="00027A3E">
            <w:pPr>
              <w:spacing w:line="288" w:lineRule="auto"/>
              <w:jc w:val="both"/>
              <w:rPr>
                <w:rFonts w:ascii="Open Sans" w:hAnsi="Open Sans"/>
                <w:sz w:val="22"/>
                <w:szCs w:val="22"/>
              </w:rPr>
            </w:pPr>
          </w:p>
        </w:tc>
        <w:tc>
          <w:tcPr>
            <w:tcW w:w="2126" w:type="dxa"/>
            <w:shd w:val="clear" w:color="auto" w:fill="auto"/>
          </w:tcPr>
          <w:p w14:paraId="586C007D" w14:textId="77777777" w:rsidR="002052EC" w:rsidRPr="00027A3E" w:rsidRDefault="002052EC" w:rsidP="00027A3E">
            <w:pPr>
              <w:spacing w:line="288" w:lineRule="auto"/>
              <w:jc w:val="both"/>
              <w:rPr>
                <w:rFonts w:ascii="Open Sans" w:hAnsi="Open Sans"/>
                <w:sz w:val="22"/>
                <w:szCs w:val="22"/>
              </w:rPr>
            </w:pPr>
          </w:p>
        </w:tc>
        <w:tc>
          <w:tcPr>
            <w:tcW w:w="6662" w:type="dxa"/>
            <w:shd w:val="clear" w:color="auto" w:fill="auto"/>
          </w:tcPr>
          <w:p w14:paraId="425BA390" w14:textId="77777777" w:rsidR="002052EC" w:rsidRPr="00027A3E" w:rsidRDefault="002052EC" w:rsidP="00027A3E">
            <w:pPr>
              <w:spacing w:line="288" w:lineRule="auto"/>
              <w:jc w:val="both"/>
              <w:rPr>
                <w:rFonts w:ascii="Open Sans" w:hAnsi="Open Sans"/>
                <w:sz w:val="22"/>
                <w:szCs w:val="22"/>
              </w:rPr>
            </w:pPr>
          </w:p>
        </w:tc>
      </w:tr>
      <w:tr w:rsidR="002052EC" w:rsidRPr="00027A3E" w14:paraId="5D0A62E3" w14:textId="77777777" w:rsidTr="002C46EF">
        <w:tc>
          <w:tcPr>
            <w:tcW w:w="1002" w:type="dxa"/>
            <w:shd w:val="clear" w:color="auto" w:fill="D9E2F3"/>
          </w:tcPr>
          <w:p w14:paraId="6E35FD3D" w14:textId="77777777" w:rsidR="002052EC" w:rsidRPr="00027A3E" w:rsidRDefault="002052EC" w:rsidP="00027A3E">
            <w:pPr>
              <w:spacing w:line="288" w:lineRule="auto"/>
              <w:jc w:val="both"/>
              <w:rPr>
                <w:rFonts w:ascii="Open Sans" w:hAnsi="Open Sans"/>
                <w:b/>
                <w:bCs/>
                <w:sz w:val="22"/>
                <w:szCs w:val="22"/>
              </w:rPr>
            </w:pPr>
          </w:p>
        </w:tc>
        <w:tc>
          <w:tcPr>
            <w:tcW w:w="3960" w:type="dxa"/>
            <w:shd w:val="clear" w:color="auto" w:fill="D9E2F3"/>
          </w:tcPr>
          <w:p w14:paraId="2840FC95" w14:textId="77777777" w:rsidR="002052EC" w:rsidRPr="00027A3E" w:rsidRDefault="002052EC" w:rsidP="00027A3E">
            <w:pPr>
              <w:spacing w:line="288" w:lineRule="auto"/>
              <w:jc w:val="both"/>
              <w:rPr>
                <w:rFonts w:ascii="Open Sans" w:hAnsi="Open Sans"/>
                <w:sz w:val="22"/>
                <w:szCs w:val="22"/>
              </w:rPr>
            </w:pPr>
          </w:p>
        </w:tc>
        <w:tc>
          <w:tcPr>
            <w:tcW w:w="2126" w:type="dxa"/>
            <w:shd w:val="clear" w:color="auto" w:fill="D9E2F3"/>
          </w:tcPr>
          <w:p w14:paraId="60269780" w14:textId="77777777" w:rsidR="002052EC" w:rsidRPr="00027A3E" w:rsidRDefault="002052EC" w:rsidP="00027A3E">
            <w:pPr>
              <w:spacing w:line="288" w:lineRule="auto"/>
              <w:jc w:val="both"/>
              <w:rPr>
                <w:rFonts w:ascii="Open Sans" w:hAnsi="Open Sans"/>
                <w:sz w:val="22"/>
                <w:szCs w:val="22"/>
              </w:rPr>
            </w:pPr>
          </w:p>
        </w:tc>
        <w:tc>
          <w:tcPr>
            <w:tcW w:w="6662" w:type="dxa"/>
            <w:shd w:val="clear" w:color="auto" w:fill="D9E2F3"/>
          </w:tcPr>
          <w:p w14:paraId="438EEC41" w14:textId="77777777" w:rsidR="002052EC" w:rsidRPr="00027A3E" w:rsidRDefault="002052EC" w:rsidP="00027A3E">
            <w:pPr>
              <w:spacing w:line="288" w:lineRule="auto"/>
              <w:jc w:val="both"/>
              <w:rPr>
                <w:rFonts w:ascii="Open Sans" w:hAnsi="Open Sans"/>
                <w:sz w:val="22"/>
                <w:szCs w:val="22"/>
              </w:rPr>
            </w:pPr>
          </w:p>
        </w:tc>
      </w:tr>
      <w:tr w:rsidR="002052EC" w:rsidRPr="00027A3E" w14:paraId="729CA803" w14:textId="77777777" w:rsidTr="002C46EF">
        <w:tc>
          <w:tcPr>
            <w:tcW w:w="1002" w:type="dxa"/>
            <w:shd w:val="clear" w:color="auto" w:fill="auto"/>
          </w:tcPr>
          <w:p w14:paraId="7280802B" w14:textId="77777777" w:rsidR="002052EC" w:rsidRPr="00027A3E" w:rsidRDefault="002052EC" w:rsidP="00027A3E">
            <w:pPr>
              <w:spacing w:line="288" w:lineRule="auto"/>
              <w:jc w:val="both"/>
              <w:rPr>
                <w:rFonts w:ascii="Open Sans" w:hAnsi="Open Sans"/>
                <w:b/>
                <w:bCs/>
                <w:sz w:val="22"/>
                <w:szCs w:val="22"/>
              </w:rPr>
            </w:pPr>
          </w:p>
        </w:tc>
        <w:tc>
          <w:tcPr>
            <w:tcW w:w="3960" w:type="dxa"/>
            <w:shd w:val="clear" w:color="auto" w:fill="auto"/>
          </w:tcPr>
          <w:p w14:paraId="46C1EC6E" w14:textId="77777777" w:rsidR="002052EC" w:rsidRPr="00027A3E" w:rsidRDefault="002052EC" w:rsidP="00027A3E">
            <w:pPr>
              <w:spacing w:line="288" w:lineRule="auto"/>
              <w:jc w:val="both"/>
              <w:rPr>
                <w:rFonts w:ascii="Open Sans" w:hAnsi="Open Sans"/>
                <w:sz w:val="22"/>
                <w:szCs w:val="22"/>
              </w:rPr>
            </w:pPr>
          </w:p>
        </w:tc>
        <w:tc>
          <w:tcPr>
            <w:tcW w:w="2126" w:type="dxa"/>
            <w:shd w:val="clear" w:color="auto" w:fill="auto"/>
          </w:tcPr>
          <w:p w14:paraId="189806B7" w14:textId="77777777" w:rsidR="002052EC" w:rsidRPr="00027A3E" w:rsidRDefault="002052EC" w:rsidP="00027A3E">
            <w:pPr>
              <w:spacing w:line="288" w:lineRule="auto"/>
              <w:jc w:val="both"/>
              <w:rPr>
                <w:rFonts w:ascii="Open Sans" w:hAnsi="Open Sans"/>
                <w:sz w:val="22"/>
                <w:szCs w:val="22"/>
              </w:rPr>
            </w:pPr>
          </w:p>
        </w:tc>
        <w:tc>
          <w:tcPr>
            <w:tcW w:w="6662" w:type="dxa"/>
            <w:shd w:val="clear" w:color="auto" w:fill="auto"/>
          </w:tcPr>
          <w:p w14:paraId="1B464A4A" w14:textId="77777777" w:rsidR="002052EC" w:rsidRPr="00027A3E" w:rsidRDefault="002052EC" w:rsidP="00027A3E">
            <w:pPr>
              <w:spacing w:line="288" w:lineRule="auto"/>
              <w:jc w:val="both"/>
              <w:rPr>
                <w:rFonts w:ascii="Open Sans" w:hAnsi="Open Sans"/>
                <w:sz w:val="22"/>
                <w:szCs w:val="22"/>
              </w:rPr>
            </w:pPr>
          </w:p>
        </w:tc>
      </w:tr>
    </w:tbl>
    <w:p w14:paraId="16F209F3" w14:textId="4AFD1FB9" w:rsidR="00027A3E" w:rsidRDefault="00027A3E" w:rsidP="00027A3E">
      <w:pPr>
        <w:jc w:val="center"/>
        <w:rPr>
          <w:rFonts w:ascii="Open Sans" w:hAnsi="Open Sans"/>
          <w:bCs/>
          <w:color w:val="000000"/>
          <w:sz w:val="22"/>
          <w:szCs w:val="22"/>
        </w:rPr>
      </w:pPr>
      <w:r w:rsidRPr="00027A3E">
        <w:rPr>
          <w:rFonts w:ascii="Open Sans" w:hAnsi="Open Sans"/>
          <w:b/>
          <w:color w:val="000000"/>
          <w:sz w:val="22"/>
          <w:szCs w:val="22"/>
        </w:rPr>
        <w:t>Table 1:</w:t>
      </w:r>
      <w:r w:rsidRPr="00027A3E">
        <w:rPr>
          <w:rFonts w:ascii="Open Sans" w:hAnsi="Open Sans"/>
          <w:bCs/>
          <w:color w:val="000000"/>
          <w:sz w:val="22"/>
          <w:szCs w:val="22"/>
        </w:rPr>
        <w:t xml:space="preserve"> Summary of major changes to the quality management systems of the institute.</w:t>
      </w:r>
    </w:p>
    <w:p w14:paraId="6BB6CCE7" w14:textId="77777777" w:rsidR="00027A3E" w:rsidRPr="00027A3E" w:rsidRDefault="00027A3E" w:rsidP="00027A3E">
      <w:pPr>
        <w:rPr>
          <w:rFonts w:ascii="Open Sans" w:hAnsi="Open Sans" w:cs="Open Sans"/>
          <w:sz w:val="22"/>
          <w:szCs w:val="22"/>
        </w:rPr>
      </w:pPr>
    </w:p>
    <w:p w14:paraId="66C7CF73" w14:textId="77777777" w:rsidR="002052EC" w:rsidRPr="00027A3E" w:rsidRDefault="002052EC" w:rsidP="00027A3E">
      <w:pPr>
        <w:numPr>
          <w:ilvl w:val="0"/>
          <w:numId w:val="1"/>
        </w:numPr>
        <w:ind w:left="0" w:firstLine="0"/>
        <w:rPr>
          <w:rFonts w:ascii="Open Sans" w:hAnsi="Open Sans" w:cs="Open Sans"/>
          <w:sz w:val="22"/>
          <w:szCs w:val="22"/>
        </w:rPr>
      </w:pPr>
      <w:r w:rsidRPr="00027A3E">
        <w:rPr>
          <w:rFonts w:ascii="Open Sans" w:hAnsi="Open Sans" w:cs="Open Sans"/>
          <w:sz w:val="22"/>
          <w:szCs w:val="22"/>
        </w:rPr>
        <w:t xml:space="preserve"> Point of contact: Name, Role/Title, email address</w:t>
      </w:r>
    </w:p>
    <w:sectPr w:rsidR="002052EC" w:rsidRPr="00027A3E" w:rsidSect="002052EC">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4DF" w14:textId="77777777" w:rsidR="00841FE7" w:rsidRDefault="00841FE7">
      <w:r>
        <w:separator/>
      </w:r>
    </w:p>
  </w:endnote>
  <w:endnote w:type="continuationSeparator" w:id="0">
    <w:p w14:paraId="2E6079B1" w14:textId="77777777" w:rsidR="00841FE7" w:rsidRDefault="0084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96F6" w14:textId="77777777" w:rsidR="007841C1" w:rsidRDefault="0078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D1A9" w14:textId="3C78916C" w:rsidR="00027A3E" w:rsidRDefault="00027A3E" w:rsidP="00027A3E">
    <w:pPr>
      <w:pStyle w:val="Footer"/>
      <w:tabs>
        <w:tab w:val="clear" w:pos="4680"/>
        <w:tab w:val="clear" w:pos="9360"/>
        <w:tab w:val="left" w:pos="6379"/>
      </w:tabs>
      <w:jc w:val="right"/>
      <w:rPr>
        <w:rFonts w:ascii="Open Sans" w:hAnsi="Open Sans" w:cs="Open Sans"/>
        <w:sz w:val="22"/>
        <w:szCs w:val="22"/>
        <w:lang w:val="en-CA"/>
      </w:rPr>
    </w:pPr>
    <w:r>
      <w:rPr>
        <w:rFonts w:ascii="Open Sans" w:hAnsi="Open Sans" w:cs="Open Sans"/>
        <w:sz w:val="22"/>
        <w:szCs w:val="22"/>
        <w:lang w:val="en-CA"/>
      </w:rPr>
      <w:tab/>
      <w:t>Metrology Institute’s Annual Report to SIM QSTF Template v3.0</w:t>
    </w:r>
  </w:p>
  <w:p w14:paraId="786FAC1B" w14:textId="6F2A79C6" w:rsidR="00027A3E" w:rsidRPr="00027A3E" w:rsidRDefault="00027A3E" w:rsidP="00027A3E">
    <w:pPr>
      <w:pStyle w:val="Footer"/>
      <w:tabs>
        <w:tab w:val="clear" w:pos="4680"/>
        <w:tab w:val="clear" w:pos="9360"/>
        <w:tab w:val="left" w:pos="6379"/>
      </w:tabs>
      <w:jc w:val="right"/>
      <w:rPr>
        <w:rFonts w:ascii="Open Sans" w:hAnsi="Open Sans" w:cs="Open Sans"/>
        <w:sz w:val="22"/>
        <w:szCs w:val="22"/>
        <w:lang w:val="en-CA"/>
      </w:rPr>
    </w:pPr>
    <w:r>
      <w:rPr>
        <w:rFonts w:ascii="Open Sans" w:hAnsi="Open Sans" w:cs="Open Sans"/>
        <w:sz w:val="22"/>
        <w:szCs w:val="22"/>
        <w:lang w:val="en-CA"/>
      </w:rPr>
      <w:t xml:space="preserve">Page </w:t>
    </w:r>
    <w:r>
      <w:rPr>
        <w:rFonts w:ascii="Open Sans" w:hAnsi="Open Sans" w:cs="Open Sans"/>
        <w:sz w:val="22"/>
        <w:szCs w:val="22"/>
        <w:lang w:val="en-CA"/>
      </w:rPr>
      <w:fldChar w:fldCharType="begin"/>
    </w:r>
    <w:r>
      <w:rPr>
        <w:rFonts w:ascii="Open Sans" w:hAnsi="Open Sans" w:cs="Open Sans"/>
        <w:sz w:val="22"/>
        <w:szCs w:val="22"/>
        <w:lang w:val="en-CA"/>
      </w:rPr>
      <w:instrText xml:space="preserve"> PAGE  \* Arabic  \* MERGEFORMAT </w:instrText>
    </w:r>
    <w:r>
      <w:rPr>
        <w:rFonts w:ascii="Open Sans" w:hAnsi="Open Sans" w:cs="Open Sans"/>
        <w:sz w:val="22"/>
        <w:szCs w:val="22"/>
        <w:lang w:val="en-CA"/>
      </w:rPr>
      <w:fldChar w:fldCharType="separate"/>
    </w:r>
    <w:r>
      <w:rPr>
        <w:rFonts w:ascii="Open Sans" w:hAnsi="Open Sans" w:cs="Open Sans"/>
        <w:sz w:val="22"/>
        <w:szCs w:val="22"/>
        <w:lang w:val="en-CA"/>
      </w:rPr>
      <w:t>2</w:t>
    </w:r>
    <w:r>
      <w:rPr>
        <w:rFonts w:ascii="Open Sans" w:hAnsi="Open Sans" w:cs="Open Sans"/>
        <w:sz w:val="22"/>
        <w:szCs w:val="22"/>
        <w:lang w:val="en-CA"/>
      </w:rPr>
      <w:fldChar w:fldCharType="end"/>
    </w:r>
    <w:r>
      <w:rPr>
        <w:rFonts w:ascii="Open Sans" w:hAnsi="Open Sans" w:cs="Open Sans"/>
        <w:sz w:val="22"/>
        <w:szCs w:val="22"/>
        <w:lang w:val="en-CA"/>
      </w:rPr>
      <w:t xml:space="preserve"> of </w:t>
    </w:r>
    <w:r>
      <w:rPr>
        <w:rFonts w:ascii="Open Sans" w:hAnsi="Open Sans" w:cs="Open Sans"/>
        <w:sz w:val="22"/>
        <w:szCs w:val="22"/>
        <w:lang w:val="en-CA"/>
      </w:rPr>
      <w:fldChar w:fldCharType="begin"/>
    </w:r>
    <w:r>
      <w:rPr>
        <w:rFonts w:ascii="Open Sans" w:hAnsi="Open Sans" w:cs="Open Sans"/>
        <w:sz w:val="22"/>
        <w:szCs w:val="22"/>
        <w:lang w:val="en-CA"/>
      </w:rPr>
      <w:instrText xml:space="preserve"> NUMPAGES  \* Arabic  \* MERGEFORMAT </w:instrText>
    </w:r>
    <w:r>
      <w:rPr>
        <w:rFonts w:ascii="Open Sans" w:hAnsi="Open Sans" w:cs="Open Sans"/>
        <w:sz w:val="22"/>
        <w:szCs w:val="22"/>
        <w:lang w:val="en-CA"/>
      </w:rPr>
      <w:fldChar w:fldCharType="separate"/>
    </w:r>
    <w:r>
      <w:rPr>
        <w:rFonts w:ascii="Open Sans" w:hAnsi="Open Sans" w:cs="Open Sans"/>
        <w:sz w:val="22"/>
        <w:szCs w:val="22"/>
        <w:lang w:val="en-CA"/>
      </w:rPr>
      <w:t>2</w:t>
    </w:r>
    <w:r>
      <w:rPr>
        <w:rFonts w:ascii="Open Sans" w:hAnsi="Open Sans" w:cs="Open Sans"/>
        <w:sz w:val="22"/>
        <w:szCs w:val="22"/>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EF28" w14:textId="77777777" w:rsidR="007841C1" w:rsidRDefault="0078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623B" w14:textId="77777777" w:rsidR="00841FE7" w:rsidRDefault="00841FE7">
      <w:r>
        <w:separator/>
      </w:r>
    </w:p>
  </w:footnote>
  <w:footnote w:type="continuationSeparator" w:id="0">
    <w:p w14:paraId="658C6AC1" w14:textId="77777777" w:rsidR="00841FE7" w:rsidRDefault="00841FE7">
      <w:r>
        <w:continuationSeparator/>
      </w:r>
    </w:p>
  </w:footnote>
  <w:footnote w:id="1">
    <w:p w14:paraId="5AC1EA27" w14:textId="77777777" w:rsidR="0024372B" w:rsidRPr="00027A3E" w:rsidRDefault="0024372B">
      <w:pPr>
        <w:pStyle w:val="FootnoteText"/>
        <w:rPr>
          <w:rFonts w:ascii="Open Sans" w:hAnsi="Open Sans" w:cs="Open Sans"/>
          <w:sz w:val="18"/>
          <w:szCs w:val="18"/>
        </w:rPr>
      </w:pPr>
      <w:r w:rsidRPr="00027A3E">
        <w:rPr>
          <w:rStyle w:val="FootnoteReference"/>
          <w:rFonts w:ascii="Open Sans" w:hAnsi="Open Sans" w:cs="Open Sans"/>
          <w:sz w:val="18"/>
          <w:szCs w:val="18"/>
        </w:rPr>
        <w:footnoteRef/>
      </w:r>
      <w:r w:rsidRPr="00027A3E">
        <w:rPr>
          <w:rFonts w:ascii="Open Sans" w:hAnsi="Open Sans" w:cs="Open Sans"/>
          <w:sz w:val="18"/>
          <w:szCs w:val="18"/>
        </w:rPr>
        <w:t xml:space="preserve"> Insert name of NMI or designated institute</w:t>
      </w:r>
    </w:p>
  </w:footnote>
  <w:footnote w:id="2">
    <w:p w14:paraId="5C40B235" w14:textId="77777777" w:rsidR="0024372B" w:rsidRPr="00027A3E" w:rsidRDefault="0024372B" w:rsidP="00B43FF5">
      <w:pPr>
        <w:rPr>
          <w:rFonts w:ascii="Open Sans" w:hAnsi="Open Sans" w:cs="Open Sans"/>
          <w:sz w:val="18"/>
          <w:szCs w:val="18"/>
        </w:rPr>
      </w:pPr>
      <w:r w:rsidRPr="00027A3E">
        <w:rPr>
          <w:rStyle w:val="FootnoteReference"/>
          <w:rFonts w:ascii="Open Sans" w:hAnsi="Open Sans" w:cs="Open Sans"/>
          <w:sz w:val="18"/>
          <w:szCs w:val="18"/>
        </w:rPr>
        <w:footnoteRef/>
      </w:r>
      <w:r w:rsidRPr="00027A3E">
        <w:rPr>
          <w:rFonts w:ascii="Open Sans" w:hAnsi="Open Sans" w:cs="Open Sans"/>
          <w:sz w:val="18"/>
          <w:szCs w:val="18"/>
        </w:rPr>
        <w:t xml:space="preserve"> Include changes since QSTF approval that could affect the delivery of CMCs including key technical, quality, and management staffing changes </w:t>
      </w:r>
    </w:p>
  </w:footnote>
  <w:footnote w:id="3">
    <w:p w14:paraId="39018581" w14:textId="77777777" w:rsidR="0024372B" w:rsidRPr="00027A3E" w:rsidRDefault="0024372B">
      <w:pPr>
        <w:pStyle w:val="FootnoteText"/>
        <w:rPr>
          <w:rFonts w:ascii="Open Sans" w:hAnsi="Open Sans" w:cs="Open Sans"/>
          <w:sz w:val="18"/>
          <w:szCs w:val="18"/>
        </w:rPr>
      </w:pPr>
      <w:r w:rsidRPr="00027A3E">
        <w:rPr>
          <w:rStyle w:val="FootnoteReference"/>
          <w:rFonts w:ascii="Open Sans" w:hAnsi="Open Sans" w:cs="Open Sans"/>
          <w:sz w:val="18"/>
          <w:szCs w:val="18"/>
        </w:rPr>
        <w:footnoteRef/>
      </w:r>
      <w:r w:rsidRPr="00027A3E">
        <w:rPr>
          <w:rFonts w:ascii="Open Sans" w:hAnsi="Open Sans" w:cs="Open Sans"/>
          <w:sz w:val="18"/>
          <w:szCs w:val="18"/>
        </w:rPr>
        <w:t xml:space="preserve"> Include key changes in organizational structure since QSTF approval that would affect your ability to deliver your measurement services </w:t>
      </w:r>
    </w:p>
  </w:footnote>
  <w:footnote w:id="4">
    <w:p w14:paraId="5690CAC6" w14:textId="357A9AE9" w:rsidR="0024372B" w:rsidRPr="00027A3E" w:rsidRDefault="0024372B" w:rsidP="00027A3E">
      <w:pPr>
        <w:rPr>
          <w:rFonts w:ascii="Open Sans" w:hAnsi="Open Sans" w:cs="Open Sans"/>
          <w:sz w:val="18"/>
          <w:szCs w:val="18"/>
        </w:rPr>
      </w:pPr>
      <w:r w:rsidRPr="00027A3E">
        <w:rPr>
          <w:rStyle w:val="FootnoteReference"/>
          <w:rFonts w:ascii="Open Sans" w:hAnsi="Open Sans" w:cs="Open Sans"/>
          <w:sz w:val="18"/>
          <w:szCs w:val="18"/>
        </w:rPr>
        <w:footnoteRef/>
      </w:r>
      <w:r w:rsidRPr="00027A3E">
        <w:rPr>
          <w:rFonts w:ascii="Open Sans" w:hAnsi="Open Sans" w:cs="Open Sans"/>
          <w:sz w:val="18"/>
          <w:szCs w:val="18"/>
        </w:rPr>
        <w:t xml:space="preserve"> List specific comparison (CC, supplemental, bilateral) CMCs potentially affected, and NMI action (e.g., modify or withdraw CMC, arrange bilateral comparison, etc)</w:t>
      </w:r>
    </w:p>
  </w:footnote>
  <w:footnote w:id="5">
    <w:p w14:paraId="0BBFE17A" w14:textId="77777777" w:rsidR="0024372B" w:rsidRPr="00027A3E" w:rsidRDefault="0024372B" w:rsidP="00BC6340">
      <w:pPr>
        <w:rPr>
          <w:rFonts w:ascii="Open Sans" w:hAnsi="Open Sans" w:cs="Open Sans"/>
          <w:sz w:val="18"/>
          <w:szCs w:val="18"/>
        </w:rPr>
      </w:pPr>
      <w:r w:rsidRPr="00027A3E">
        <w:rPr>
          <w:rStyle w:val="FootnoteReference"/>
          <w:rFonts w:ascii="Open Sans" w:hAnsi="Open Sans" w:cs="Open Sans"/>
          <w:sz w:val="18"/>
          <w:szCs w:val="18"/>
        </w:rPr>
        <w:footnoteRef/>
      </w:r>
      <w:r w:rsidRPr="00027A3E">
        <w:rPr>
          <w:rFonts w:ascii="Open Sans" w:hAnsi="Open Sans" w:cs="Open Sans"/>
          <w:sz w:val="18"/>
          <w:szCs w:val="18"/>
        </w:rPr>
        <w:t xml:space="preserve"> List the specific changes and how do they affect the delivery of quality services</w:t>
      </w:r>
    </w:p>
  </w:footnote>
  <w:footnote w:id="6">
    <w:p w14:paraId="5B39CD1A" w14:textId="2DB9414F" w:rsidR="0024372B" w:rsidRDefault="0024372B">
      <w:pPr>
        <w:pStyle w:val="FootnoteText"/>
      </w:pPr>
      <w:r w:rsidRPr="00027A3E">
        <w:rPr>
          <w:rStyle w:val="FootnoteReference"/>
          <w:rFonts w:ascii="Open Sans" w:hAnsi="Open Sans" w:cs="Open Sans"/>
          <w:sz w:val="18"/>
          <w:szCs w:val="18"/>
        </w:rPr>
        <w:footnoteRef/>
      </w:r>
      <w:r w:rsidRPr="00027A3E">
        <w:rPr>
          <w:rFonts w:ascii="Open Sans" w:hAnsi="Open Sans" w:cs="Open Sans"/>
          <w:sz w:val="18"/>
          <w:szCs w:val="18"/>
        </w:rPr>
        <w:t xml:space="preserve"> Provide details including next steps if complaints or nonconformities have increased or there are new ones whose nature is such that they could seriously affect the ability to deliver measurement services with the quality declared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724D" w14:textId="77777777" w:rsidR="007841C1" w:rsidRDefault="00784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B97C" w14:textId="77777777" w:rsidR="007841C1" w:rsidRDefault="00784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7B2" w14:textId="77777777" w:rsidR="007841C1" w:rsidRDefault="00784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052CF"/>
    <w:multiLevelType w:val="hybridMultilevel"/>
    <w:tmpl w:val="3D00A9F2"/>
    <w:lvl w:ilvl="0" w:tplc="2A904632">
      <w:start w:val="1"/>
      <w:numFmt w:val="decimal"/>
      <w:lvlText w:val="%1."/>
      <w:lvlJc w:val="left"/>
      <w:pPr>
        <w:ind w:left="117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47A4A"/>
    <w:multiLevelType w:val="hybridMultilevel"/>
    <w:tmpl w:val="57769B1E"/>
    <w:lvl w:ilvl="0" w:tplc="080A0001">
      <w:start w:val="1"/>
      <w:numFmt w:val="bullet"/>
      <w:lvlText w:val=""/>
      <w:lvlJc w:val="left"/>
      <w:pPr>
        <w:ind w:left="1483" w:hanging="360"/>
      </w:pPr>
      <w:rPr>
        <w:rFonts w:ascii="Symbol" w:hAnsi="Symbol" w:hint="default"/>
      </w:rPr>
    </w:lvl>
    <w:lvl w:ilvl="1" w:tplc="080A0003" w:tentative="1">
      <w:start w:val="1"/>
      <w:numFmt w:val="bullet"/>
      <w:lvlText w:val="o"/>
      <w:lvlJc w:val="left"/>
      <w:pPr>
        <w:ind w:left="2203" w:hanging="360"/>
      </w:pPr>
      <w:rPr>
        <w:rFonts w:ascii="Courier New" w:hAnsi="Courier New" w:cs="Courier New" w:hint="default"/>
      </w:rPr>
    </w:lvl>
    <w:lvl w:ilvl="2" w:tplc="080A0005" w:tentative="1">
      <w:start w:val="1"/>
      <w:numFmt w:val="bullet"/>
      <w:lvlText w:val=""/>
      <w:lvlJc w:val="left"/>
      <w:pPr>
        <w:ind w:left="2923" w:hanging="360"/>
      </w:pPr>
      <w:rPr>
        <w:rFonts w:ascii="Wingdings" w:hAnsi="Wingdings" w:hint="default"/>
      </w:rPr>
    </w:lvl>
    <w:lvl w:ilvl="3" w:tplc="080A0001" w:tentative="1">
      <w:start w:val="1"/>
      <w:numFmt w:val="bullet"/>
      <w:lvlText w:val=""/>
      <w:lvlJc w:val="left"/>
      <w:pPr>
        <w:ind w:left="3643" w:hanging="360"/>
      </w:pPr>
      <w:rPr>
        <w:rFonts w:ascii="Symbol" w:hAnsi="Symbol" w:hint="default"/>
      </w:rPr>
    </w:lvl>
    <w:lvl w:ilvl="4" w:tplc="080A0003" w:tentative="1">
      <w:start w:val="1"/>
      <w:numFmt w:val="bullet"/>
      <w:lvlText w:val="o"/>
      <w:lvlJc w:val="left"/>
      <w:pPr>
        <w:ind w:left="4363" w:hanging="360"/>
      </w:pPr>
      <w:rPr>
        <w:rFonts w:ascii="Courier New" w:hAnsi="Courier New" w:cs="Courier New" w:hint="default"/>
      </w:rPr>
    </w:lvl>
    <w:lvl w:ilvl="5" w:tplc="080A0005" w:tentative="1">
      <w:start w:val="1"/>
      <w:numFmt w:val="bullet"/>
      <w:lvlText w:val=""/>
      <w:lvlJc w:val="left"/>
      <w:pPr>
        <w:ind w:left="5083" w:hanging="360"/>
      </w:pPr>
      <w:rPr>
        <w:rFonts w:ascii="Wingdings" w:hAnsi="Wingdings" w:hint="default"/>
      </w:rPr>
    </w:lvl>
    <w:lvl w:ilvl="6" w:tplc="080A0001" w:tentative="1">
      <w:start w:val="1"/>
      <w:numFmt w:val="bullet"/>
      <w:lvlText w:val=""/>
      <w:lvlJc w:val="left"/>
      <w:pPr>
        <w:ind w:left="5803" w:hanging="360"/>
      </w:pPr>
      <w:rPr>
        <w:rFonts w:ascii="Symbol" w:hAnsi="Symbol" w:hint="default"/>
      </w:rPr>
    </w:lvl>
    <w:lvl w:ilvl="7" w:tplc="080A0003" w:tentative="1">
      <w:start w:val="1"/>
      <w:numFmt w:val="bullet"/>
      <w:lvlText w:val="o"/>
      <w:lvlJc w:val="left"/>
      <w:pPr>
        <w:ind w:left="6523" w:hanging="360"/>
      </w:pPr>
      <w:rPr>
        <w:rFonts w:ascii="Courier New" w:hAnsi="Courier New" w:cs="Courier New" w:hint="default"/>
      </w:rPr>
    </w:lvl>
    <w:lvl w:ilvl="8" w:tplc="080A0005" w:tentative="1">
      <w:start w:val="1"/>
      <w:numFmt w:val="bullet"/>
      <w:lvlText w:val=""/>
      <w:lvlJc w:val="left"/>
      <w:pPr>
        <w:ind w:left="7243" w:hanging="360"/>
      </w:pPr>
      <w:rPr>
        <w:rFonts w:ascii="Wingdings" w:hAnsi="Wingdings" w:hint="default"/>
      </w:rPr>
    </w:lvl>
  </w:abstractNum>
  <w:num w:numId="1" w16cid:durableId="993990313">
    <w:abstractNumId w:val="0"/>
  </w:num>
  <w:num w:numId="2" w16cid:durableId="110345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F5"/>
    <w:rsid w:val="00000A42"/>
    <w:rsid w:val="00027A3E"/>
    <w:rsid w:val="00062602"/>
    <w:rsid w:val="00151AF9"/>
    <w:rsid w:val="001776AC"/>
    <w:rsid w:val="001A51E1"/>
    <w:rsid w:val="001D05DE"/>
    <w:rsid w:val="001F2DB4"/>
    <w:rsid w:val="00204017"/>
    <w:rsid w:val="002052EC"/>
    <w:rsid w:val="0024372B"/>
    <w:rsid w:val="0025187B"/>
    <w:rsid w:val="00257F12"/>
    <w:rsid w:val="00257FB3"/>
    <w:rsid w:val="00292190"/>
    <w:rsid w:val="002C46EF"/>
    <w:rsid w:val="002E4995"/>
    <w:rsid w:val="003377D3"/>
    <w:rsid w:val="003750C4"/>
    <w:rsid w:val="003810E0"/>
    <w:rsid w:val="003B5564"/>
    <w:rsid w:val="003C107B"/>
    <w:rsid w:val="00401D63"/>
    <w:rsid w:val="00424047"/>
    <w:rsid w:val="00462676"/>
    <w:rsid w:val="00520148"/>
    <w:rsid w:val="00545A6A"/>
    <w:rsid w:val="0059217B"/>
    <w:rsid w:val="005A0FAF"/>
    <w:rsid w:val="005C14B8"/>
    <w:rsid w:val="005C7BD2"/>
    <w:rsid w:val="005D5072"/>
    <w:rsid w:val="005F78B6"/>
    <w:rsid w:val="0063280B"/>
    <w:rsid w:val="00652D76"/>
    <w:rsid w:val="006C545E"/>
    <w:rsid w:val="006C5D44"/>
    <w:rsid w:val="006D63B1"/>
    <w:rsid w:val="007841C1"/>
    <w:rsid w:val="007867F8"/>
    <w:rsid w:val="007A3463"/>
    <w:rsid w:val="007C0051"/>
    <w:rsid w:val="007D062D"/>
    <w:rsid w:val="007D34E1"/>
    <w:rsid w:val="007D7B1C"/>
    <w:rsid w:val="00817D4D"/>
    <w:rsid w:val="00822D7E"/>
    <w:rsid w:val="00841FE7"/>
    <w:rsid w:val="008F2FEB"/>
    <w:rsid w:val="009A331F"/>
    <w:rsid w:val="009B3DF2"/>
    <w:rsid w:val="009B44BB"/>
    <w:rsid w:val="009D08D1"/>
    <w:rsid w:val="00A603C3"/>
    <w:rsid w:val="00A64211"/>
    <w:rsid w:val="00A648FE"/>
    <w:rsid w:val="00AC001D"/>
    <w:rsid w:val="00AE375E"/>
    <w:rsid w:val="00AF5F2D"/>
    <w:rsid w:val="00B040F0"/>
    <w:rsid w:val="00B07F4F"/>
    <w:rsid w:val="00B116A4"/>
    <w:rsid w:val="00B43FF5"/>
    <w:rsid w:val="00BC6340"/>
    <w:rsid w:val="00D21B56"/>
    <w:rsid w:val="00D57870"/>
    <w:rsid w:val="00DA1D71"/>
    <w:rsid w:val="00DC4227"/>
    <w:rsid w:val="00E342CA"/>
    <w:rsid w:val="00E40D90"/>
    <w:rsid w:val="00EB04B5"/>
    <w:rsid w:val="00EB47B7"/>
    <w:rsid w:val="00EB5665"/>
    <w:rsid w:val="00EF1B86"/>
    <w:rsid w:val="00EF349D"/>
    <w:rsid w:val="00F50ABA"/>
    <w:rsid w:val="00F744E6"/>
    <w:rsid w:val="00F93186"/>
    <w:rsid w:val="00FC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A1E8A"/>
  <w15:chartTrackingRefBased/>
  <w15:docId w15:val="{ED805A7F-7C8C-40B9-B805-922A214F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43FF5"/>
    <w:rPr>
      <w:sz w:val="20"/>
      <w:szCs w:val="20"/>
    </w:rPr>
  </w:style>
  <w:style w:type="character" w:styleId="FootnoteReference">
    <w:name w:val="footnote reference"/>
    <w:semiHidden/>
    <w:rsid w:val="00B43FF5"/>
    <w:rPr>
      <w:vertAlign w:val="superscript"/>
    </w:rPr>
  </w:style>
  <w:style w:type="paragraph" w:styleId="BalloonText">
    <w:name w:val="Balloon Text"/>
    <w:basedOn w:val="Normal"/>
    <w:semiHidden/>
    <w:rsid w:val="00545A6A"/>
    <w:rPr>
      <w:rFonts w:ascii="Tahoma" w:hAnsi="Tahoma" w:cs="Tahoma"/>
      <w:sz w:val="16"/>
      <w:szCs w:val="16"/>
    </w:rPr>
  </w:style>
  <w:style w:type="paragraph" w:styleId="DocumentMap">
    <w:name w:val="Document Map"/>
    <w:basedOn w:val="Normal"/>
    <w:semiHidden/>
    <w:rsid w:val="00062602"/>
    <w:pPr>
      <w:shd w:val="clear" w:color="auto" w:fill="000080"/>
    </w:pPr>
    <w:rPr>
      <w:rFonts w:ascii="Tahoma" w:hAnsi="Tahoma" w:cs="Tahoma"/>
      <w:sz w:val="20"/>
      <w:szCs w:val="20"/>
    </w:rPr>
  </w:style>
  <w:style w:type="paragraph" w:styleId="ListParagraph">
    <w:name w:val="List Paragraph"/>
    <w:basedOn w:val="Normal"/>
    <w:uiPriority w:val="34"/>
    <w:qFormat/>
    <w:rsid w:val="00652D76"/>
    <w:pPr>
      <w:ind w:left="720"/>
    </w:pPr>
  </w:style>
  <w:style w:type="table" w:styleId="GridTable2-Accent1">
    <w:name w:val="Grid Table 2 Accent 1"/>
    <w:basedOn w:val="TableNormal"/>
    <w:uiPriority w:val="47"/>
    <w:rsid w:val="002052EC"/>
    <w:rPr>
      <w:rFonts w:ascii="Calibri" w:hAnsi="Calibri"/>
      <w:sz w:val="21"/>
      <w:szCs w:val="21"/>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rsid w:val="00027A3E"/>
    <w:pPr>
      <w:tabs>
        <w:tab w:val="center" w:pos="4680"/>
        <w:tab w:val="right" w:pos="9360"/>
      </w:tabs>
    </w:pPr>
  </w:style>
  <w:style w:type="character" w:customStyle="1" w:styleId="HeaderChar">
    <w:name w:val="Header Char"/>
    <w:basedOn w:val="DefaultParagraphFont"/>
    <w:link w:val="Header"/>
    <w:rsid w:val="00027A3E"/>
    <w:rPr>
      <w:sz w:val="24"/>
      <w:szCs w:val="24"/>
    </w:rPr>
  </w:style>
  <w:style w:type="paragraph" w:styleId="Footer">
    <w:name w:val="footer"/>
    <w:basedOn w:val="Normal"/>
    <w:link w:val="FooterChar"/>
    <w:rsid w:val="00027A3E"/>
    <w:pPr>
      <w:tabs>
        <w:tab w:val="center" w:pos="4680"/>
        <w:tab w:val="right" w:pos="9360"/>
      </w:tabs>
    </w:pPr>
  </w:style>
  <w:style w:type="character" w:customStyle="1" w:styleId="FooterChar">
    <w:name w:val="Footer Char"/>
    <w:basedOn w:val="DefaultParagraphFont"/>
    <w:link w:val="Footer"/>
    <w:rsid w:val="00027A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51D4C9078B3B4B9CCBBE94EF1C6FC4" ma:contentTypeVersion="4" ma:contentTypeDescription="Create a new document." ma:contentTypeScope="" ma:versionID="51531ce32d5709fb72053d106ea908f8">
  <xsd:schema xmlns:xsd="http://www.w3.org/2001/XMLSchema" xmlns:xs="http://www.w3.org/2001/XMLSchema" xmlns:p="http://schemas.microsoft.com/office/2006/metadata/properties" xmlns:ns2="71ea9885-ff2c-402a-a70d-2d5b6e1ba2fd" xmlns:ns3="040ebf4d-efab-4ab6-9aa0-88e848f32a8a" targetNamespace="http://schemas.microsoft.com/office/2006/metadata/properties" ma:root="true" ma:fieldsID="89b86cae23138b9fe399435c9598a7e4" ns2:_="" ns3:_="">
    <xsd:import namespace="71ea9885-ff2c-402a-a70d-2d5b6e1ba2fd"/>
    <xsd:import namespace="040ebf4d-efab-4ab6-9aa0-88e848f32a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a9885-ff2c-402a-a70d-2d5b6e1ba2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ebf4d-efab-4ab6-9aa0-88e848f32a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85F6B-E76B-49F1-A91E-FA40605A32A2}">
  <ds:schemaRefs>
    <ds:schemaRef ds:uri="http://schemas.microsoft.com/sharepoint/v3/contenttype/forms"/>
  </ds:schemaRefs>
</ds:datastoreItem>
</file>

<file path=customXml/itemProps2.xml><?xml version="1.0" encoding="utf-8"?>
<ds:datastoreItem xmlns:ds="http://schemas.openxmlformats.org/officeDocument/2006/customXml" ds:itemID="{94AE777D-DC77-4B31-88AC-FF25F3B66B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DE5EB-35DA-4783-A8AA-6FD2AD75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a9885-ff2c-402a-a70d-2d5b6e1ba2fd"/>
    <ds:schemaRef ds:uri="040ebf4d-efab-4ab6-9aa0-88e848f3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1230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QMS Annual Report for the year 2007 by ------</vt:lpstr>
    </vt:vector>
  </TitlesOfParts>
  <Company>NIST</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QMS Annual Report for the year 2007 by ------</dc:title>
  <dc:subject/>
  <dc:creator>William E. Anderson</dc:creator>
  <cp:keywords/>
  <dc:description/>
  <cp:lastModifiedBy>Bruce, Sally S. (Fed)</cp:lastModifiedBy>
  <cp:revision>2</cp:revision>
  <cp:lastPrinted>2007-09-05T13:27:00Z</cp:lastPrinted>
  <dcterms:created xsi:type="dcterms:W3CDTF">2025-07-10T19:07:00Z</dcterms:created>
  <dcterms:modified xsi:type="dcterms:W3CDTF">2025-07-10T19:07:00Z</dcterms:modified>
</cp:coreProperties>
</file>